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ABA" w:rsidRDefault="0005376C" w:rsidP="00741277">
      <w:pPr>
        <w:pStyle w:val="NormalWeb"/>
        <w:rPr>
          <w:b/>
        </w:rPr>
      </w:pPr>
      <w:r>
        <w:rPr>
          <w:b/>
        </w:rPr>
        <w:t xml:space="preserve">Bi 105 </w:t>
      </w:r>
      <w:bookmarkStart w:id="0" w:name="_GoBack"/>
      <w:bookmarkEnd w:id="0"/>
      <w:r>
        <w:rPr>
          <w:b/>
        </w:rPr>
        <w:t>Week Eight</w:t>
      </w:r>
      <w:r w:rsidR="00D003FA">
        <w:rPr>
          <w:b/>
        </w:rPr>
        <w:t xml:space="preserve"> Supplemental Reading</w:t>
      </w:r>
    </w:p>
    <w:p w:rsidR="000E1699" w:rsidRDefault="000E1699" w:rsidP="000E1699">
      <w:pPr>
        <w:pStyle w:val="NormalWeb"/>
        <w:jc w:val="center"/>
        <w:rPr>
          <w:b/>
        </w:rPr>
      </w:pPr>
      <w:r>
        <w:rPr>
          <w:b/>
        </w:rPr>
        <w:t>Who Hardened Pharaoh’s Heart?</w:t>
      </w:r>
    </w:p>
    <w:p w:rsidR="00741277" w:rsidRDefault="00406ABA" w:rsidP="001C2762">
      <w:pPr>
        <w:pStyle w:val="NormalWeb"/>
        <w:ind w:firstLine="720"/>
      </w:pPr>
      <w:r>
        <w:t xml:space="preserve">Turning to the book of Exodus, most Bible readers must admit that they were at least slightly startled the first time they read about God hardening Pharaoh’s heart, and then His punishing Pharaoh for that same hard-heartedness. In dealing with these allegations, three distinct declarations are made with regard to the hardening of Pharaoh’s heart. </w:t>
      </w:r>
    </w:p>
    <w:p w:rsidR="00406ABA" w:rsidRDefault="00406ABA" w:rsidP="001C2762">
      <w:pPr>
        <w:pStyle w:val="NormalWeb"/>
        <w:ind w:firstLine="720"/>
      </w:pPr>
      <w:r>
        <w:t xml:space="preserve">First, the text states that God hardened Pharaoh’s heart (7:3; 9:12; 10:1,20,27; 11:10; 14:4,8), and the hearts of the Egyptians (14:17). </w:t>
      </w:r>
    </w:p>
    <w:p w:rsidR="00406ABA" w:rsidRDefault="00406ABA" w:rsidP="001C2762">
      <w:pPr>
        <w:pStyle w:val="NormalWeb"/>
        <w:ind w:firstLine="720"/>
      </w:pPr>
      <w:r>
        <w:t>Second, it is said that Pharao</w:t>
      </w:r>
      <w:r w:rsidR="00741277">
        <w:t>h hardened his own heart (8:15, 3</w:t>
      </w:r>
      <w:r>
        <w:t xml:space="preserve">2; 9:34), that he refused to humble himself (10:3), and that he was stubborn (13:15). </w:t>
      </w:r>
    </w:p>
    <w:p w:rsidR="00741277" w:rsidRDefault="00406ABA" w:rsidP="001C2762">
      <w:pPr>
        <w:pStyle w:val="NormalWeb"/>
        <w:ind w:firstLine="720"/>
      </w:pPr>
      <w:r>
        <w:t>Third, the text uses the passive form to indicate that Pharaoh’s heart was hardened, without giving any indication as to the source (7:13</w:t>
      </w:r>
      <w:proofErr w:type="gramStart"/>
      <w:r>
        <w:t>,14</w:t>
      </w:r>
      <w:proofErr w:type="gramEnd"/>
      <w:r>
        <w:t>,</w:t>
      </w:r>
      <w:r w:rsidR="00741277">
        <w:t xml:space="preserve"> </w:t>
      </w:r>
      <w:r>
        <w:t xml:space="preserve">22; 8:19; 9:7,35). The questions that arise from this state of affairs are: </w:t>
      </w:r>
    </w:p>
    <w:p w:rsidR="00741277" w:rsidRDefault="00406ABA" w:rsidP="00741277">
      <w:pPr>
        <w:pStyle w:val="NormalWeb"/>
        <w:ind w:left="720"/>
      </w:pPr>
      <w:r>
        <w:t xml:space="preserve">(1) </w:t>
      </w:r>
      <w:proofErr w:type="gramStart"/>
      <w:r>
        <w:t>did</w:t>
      </w:r>
      <w:proofErr w:type="gramEnd"/>
      <w:r>
        <w:t xml:space="preserve"> God harden Pharaoh on some occasions, while Pharaoh hardened himself on others? </w:t>
      </w:r>
    </w:p>
    <w:p w:rsidR="00741277" w:rsidRDefault="00406ABA" w:rsidP="00741277">
      <w:pPr>
        <w:pStyle w:val="NormalWeb"/>
        <w:ind w:left="720"/>
      </w:pPr>
      <w:r>
        <w:t xml:space="preserve">(2) Did God do </w:t>
      </w:r>
      <w:r>
        <w:rPr>
          <w:b/>
          <w:bCs/>
        </w:rPr>
        <w:t>all</w:t>
      </w:r>
      <w:r>
        <w:t xml:space="preserve"> the hardening of Pharaoh, with the references to Pharaoh hardening himself being the result of God forcing him to do so against his own will? </w:t>
      </w:r>
    </w:p>
    <w:p w:rsidR="00406ABA" w:rsidRDefault="00406ABA" w:rsidP="00741277">
      <w:pPr>
        <w:pStyle w:val="NormalWeb"/>
        <w:ind w:left="720"/>
      </w:pPr>
      <w:r>
        <w:t>(3) Are all three declarations given in the text actually parallel expressions that mean the same thing? (4) Are the three declarations distinct from one another in their meaning, but all true in their own respects? Is the God of the Bible an unjust, cruel Being?</w:t>
      </w:r>
    </w:p>
    <w:p w:rsidR="00406ABA" w:rsidRDefault="00406ABA" w:rsidP="001C2762">
      <w:pPr>
        <w:pStyle w:val="NormalWeb"/>
        <w:ind w:firstLine="720"/>
      </w:pPr>
      <w:r>
        <w:t>Two excellent explanations are available that acco</w:t>
      </w:r>
      <w:r w:rsidR="00741277">
        <w:t>unt for the Exodus declarations. E</w:t>
      </w:r>
      <w:r>
        <w:t>ach perfectly plausible and sufficient to demonstrate that both the skeptic and Calvinist interpretations are incorrect. Both explanations pertain to the fact that every language has its own way of using certain types of words and phrases that might appear odd to a person not familiar with the language. For instance, suppose a person commented that his boss became angry and “bit his head off.” Would anyone think that the speaker actually had his head bitten off? Of course not! English-speaking people understand this example of figurative speech. Or suppose a person went looking for a job, and someone said that she was “hitting the streets.” She was not literally hitting the streets with her fists. Most English speakers would understand the idiom. In the same way, the biblical languages had idioms, colloquialisms, Semitisms, and word usages peculiar to them, which those familiar with the language would understand.</w:t>
      </w:r>
    </w:p>
    <w:p w:rsidR="00406ABA" w:rsidRDefault="00406ABA" w:rsidP="001C2762">
      <w:pPr>
        <w:pStyle w:val="NormalWeb"/>
        <w:ind w:firstLine="720"/>
      </w:pPr>
      <w:r>
        <w:t xml:space="preserve">In the case of Pharaoh, “God hardened Pharaoh’s heart” in the sense that God provided the circumstances and the occasion for Pharaoh to be forced to make a decision. God sent Moses to place His demands before Pharaoh. Moses merely announced God’s instructions. God even accompanied His Word with miracles—to confirm the divine origin of the message (cf. Mark 16:20). Pharaoh made up his own mind to resist God’s demands. Of his own accord, he </w:t>
      </w:r>
      <w:r>
        <w:lastRenderedPageBreak/>
        <w:t>stubbornly refused to comply. Of course, God provided the occasion for Pharaoh to demonstrate his unyielding attitude. If God had not sent Moses, Pharaoh would not have been faced with the dilemma of whether to release the Israelites. So God was certainly the instigator and initiator. But He was not the author of Pharaoh’s defiance.</w:t>
      </w:r>
    </w:p>
    <w:p w:rsidR="00406ABA" w:rsidRDefault="00406ABA" w:rsidP="00406ABA">
      <w:pPr>
        <w:pStyle w:val="NormalWeb"/>
      </w:pPr>
      <w:r>
        <w:t xml:space="preserve">Notice that in a very real sense, all four of the following statements are true: (1) </w:t>
      </w:r>
      <w:r>
        <w:rPr>
          <w:b/>
          <w:bCs/>
        </w:rPr>
        <w:t>God</w:t>
      </w:r>
      <w:r>
        <w:t xml:space="preserve"> hardened Pharaoh’s heart; (2) </w:t>
      </w:r>
      <w:r>
        <w:rPr>
          <w:b/>
          <w:bCs/>
        </w:rPr>
        <w:t>Moses</w:t>
      </w:r>
      <w:r>
        <w:t xml:space="preserve"> hardened Pharaoh’s heart; (3) the </w:t>
      </w:r>
      <w:r>
        <w:rPr>
          <w:b/>
          <w:bCs/>
        </w:rPr>
        <w:t>words</w:t>
      </w:r>
      <w:r>
        <w:t xml:space="preserve"> that Moses spoke hardened Pharaoh’s heart; (4) </w:t>
      </w:r>
      <w:r>
        <w:rPr>
          <w:b/>
          <w:bCs/>
        </w:rPr>
        <w:t>Pharaoh</w:t>
      </w:r>
      <w:r>
        <w:t xml:space="preserve"> hardened his own heart. All four of these observations are accurate, depicting the same truth from different perspectives. In this sense, God is responsible for everything in the Universe, i.e., He has provided the occasion, the circumstances, and the environment in which all things (including people) operate. But He is not guilty of wrong in so doing. From a quick look at a simple Hebrew idiom, it is clear that God did not unjustly or directly harden Pharaoh’s heart. God is no re</w:t>
      </w:r>
      <w:r w:rsidR="00741277">
        <w:t>specter of persons (Acts 10:34),</w:t>
      </w:r>
      <w:r>
        <w:t xml:space="preserve"> He does not act unjustly (Psalms 33:5), and He has always allowed humans to exercise their free moral agency (Deuteronomy 30:19). God, however, does use the wrong, stubborn decisions committed by rebellious sinners to further His causes (Isaiah 10:5-11). In the case of Pharaoh’s hardened heart, God can be charged with no injustice, and the Bible can be charged with no contradiction. Humans were created with free moral agency and are culpable for their own actions.</w:t>
      </w:r>
    </w:p>
    <w:p w:rsidR="00CC47C5" w:rsidRDefault="00CC47C5" w:rsidP="00CC47C5">
      <w:pPr>
        <w:pStyle w:val="NormalWeb"/>
      </w:pPr>
      <w:r>
        <w:t>Throughout the stories of the patriarchs we see the hand of God working in human history to bring about His plans. But how should we understand God’s works in history? Clearly, on the one hand, we are told that he moves world leaders to do as he wishes. God calls Babylonian king Nebuchadnezzar who carries the people of Judah into exile “my servant” (Jer. 25:9), and Cyrus the Persian king who brings them back from captivity he calls “my shepherd” (Isa. 44:28). We will read in Exodus of God “hardening Pharaoh’s heart” so that he will permit the Hebrew slaves to go free.</w:t>
      </w:r>
    </w:p>
    <w:p w:rsidR="00CC47C5" w:rsidRDefault="00CC47C5" w:rsidP="00CC47C5">
      <w:pPr>
        <w:pStyle w:val="NormalWeb"/>
      </w:pPr>
      <w:r>
        <w:t>On the other hand, we see God’s purposes being worked out in the broader movements of history, such as the famines that led Abraham and Jacob to seek assistance in Egypt and the three-way conflict between the Egyptians, the Hittites, and the Sea Peoples which allowed Israel to be established as a nation. The seven bountiful years and seven years of famine elevated Joseph to a position of power where he could care for his family. But did he cause the famine or did he take advantage of it?</w:t>
      </w:r>
    </w:p>
    <w:p w:rsidR="00CC47C5" w:rsidRDefault="00CC47C5" w:rsidP="00CC47C5">
      <w:pPr>
        <w:pStyle w:val="NormalWeb"/>
      </w:pPr>
      <w:r>
        <w:t>How should we understand God’s working in human history? Does he always take an active role in all that happens? Does he always work out his plans by directing events? Or does he wait for and respond to many events so that we see his hand working, but would not say that he “caused” the event? What about modern events such as the Nazi Holocaust in which six million Jews were killed and which was instrumental in leading the Allies to create the modern nation of Israel? What was God’s involvement in these events?</w:t>
      </w:r>
    </w:p>
    <w:p w:rsidR="00CC47C5" w:rsidRDefault="00CC47C5" w:rsidP="00406ABA">
      <w:pPr>
        <w:spacing w:before="100" w:beforeAutospacing="1" w:after="100" w:afterAutospacing="1"/>
        <w:jc w:val="center"/>
        <w:outlineLvl w:val="1"/>
        <w:rPr>
          <w:rFonts w:eastAsia="Times New Roman" w:cs="Times New Roman"/>
          <w:b/>
          <w:bCs/>
          <w:sz w:val="36"/>
          <w:szCs w:val="36"/>
        </w:rPr>
      </w:pPr>
    </w:p>
    <w:p w:rsidR="00406ABA" w:rsidRPr="00406ABA" w:rsidRDefault="00406ABA" w:rsidP="00406ABA">
      <w:pPr>
        <w:spacing w:before="100" w:beforeAutospacing="1" w:after="100" w:afterAutospacing="1"/>
        <w:jc w:val="center"/>
        <w:outlineLvl w:val="1"/>
        <w:rPr>
          <w:rFonts w:eastAsia="Times New Roman" w:cs="Times New Roman"/>
          <w:b/>
          <w:bCs/>
          <w:sz w:val="36"/>
          <w:szCs w:val="36"/>
        </w:rPr>
      </w:pPr>
      <w:r w:rsidRPr="00406ABA">
        <w:rPr>
          <w:rFonts w:eastAsia="Times New Roman" w:cs="Times New Roman"/>
          <w:b/>
          <w:bCs/>
          <w:sz w:val="36"/>
          <w:szCs w:val="36"/>
        </w:rPr>
        <w:t>REFERENCES</w:t>
      </w:r>
    </w:p>
    <w:p w:rsidR="00406ABA" w:rsidRPr="00406ABA" w:rsidRDefault="00406ABA" w:rsidP="00406ABA">
      <w:pPr>
        <w:spacing w:before="100" w:beforeAutospacing="1" w:after="100" w:afterAutospacing="1"/>
        <w:rPr>
          <w:rFonts w:eastAsia="Times New Roman" w:cs="Times New Roman"/>
          <w:szCs w:val="24"/>
        </w:rPr>
      </w:pPr>
      <w:proofErr w:type="spellStart"/>
      <w:r w:rsidRPr="00406ABA">
        <w:rPr>
          <w:rFonts w:eastAsia="Times New Roman" w:cs="Times New Roman"/>
          <w:szCs w:val="24"/>
        </w:rPr>
        <w:lastRenderedPageBreak/>
        <w:t>Bullinger</w:t>
      </w:r>
      <w:proofErr w:type="spellEnd"/>
      <w:r w:rsidRPr="00406ABA">
        <w:rPr>
          <w:rFonts w:eastAsia="Times New Roman" w:cs="Times New Roman"/>
          <w:szCs w:val="24"/>
        </w:rPr>
        <w:t xml:space="preserve">, E.W. (1898), </w:t>
      </w:r>
      <w:r w:rsidRPr="00406ABA">
        <w:rPr>
          <w:rFonts w:eastAsia="Times New Roman" w:cs="Times New Roman"/>
          <w:i/>
          <w:iCs/>
          <w:szCs w:val="24"/>
        </w:rPr>
        <w:t>Figures of Speech Used in the Bible</w:t>
      </w:r>
      <w:r w:rsidRPr="00406ABA">
        <w:rPr>
          <w:rFonts w:eastAsia="Times New Roman" w:cs="Times New Roman"/>
          <w:szCs w:val="24"/>
        </w:rPr>
        <w:t xml:space="preserve"> (Grand Rapids, MI: Baker, 1968 reprint).</w:t>
      </w:r>
    </w:p>
    <w:p w:rsidR="00406ABA" w:rsidRPr="00406ABA" w:rsidRDefault="00406ABA" w:rsidP="00406ABA">
      <w:pPr>
        <w:spacing w:before="100" w:beforeAutospacing="1" w:after="100" w:afterAutospacing="1"/>
        <w:rPr>
          <w:rFonts w:eastAsia="Times New Roman" w:cs="Times New Roman"/>
          <w:szCs w:val="24"/>
        </w:rPr>
      </w:pPr>
      <w:r w:rsidRPr="00406ABA">
        <w:rPr>
          <w:rFonts w:eastAsia="Times New Roman" w:cs="Times New Roman"/>
          <w:szCs w:val="24"/>
        </w:rPr>
        <w:t xml:space="preserve">Dungan, D.R. (1888), </w:t>
      </w:r>
      <w:r w:rsidRPr="00406ABA">
        <w:rPr>
          <w:rFonts w:eastAsia="Times New Roman" w:cs="Times New Roman"/>
          <w:i/>
          <w:iCs/>
          <w:szCs w:val="24"/>
        </w:rPr>
        <w:t>Hermeneutics</w:t>
      </w:r>
      <w:r w:rsidRPr="00406ABA">
        <w:rPr>
          <w:rFonts w:eastAsia="Times New Roman" w:cs="Times New Roman"/>
          <w:szCs w:val="24"/>
        </w:rPr>
        <w:t xml:space="preserve"> (Delight, AR: Gospel Light).</w:t>
      </w:r>
    </w:p>
    <w:p w:rsidR="00406ABA" w:rsidRPr="00406ABA" w:rsidRDefault="00406ABA" w:rsidP="00406ABA">
      <w:pPr>
        <w:spacing w:before="100" w:beforeAutospacing="1" w:after="100" w:afterAutospacing="1"/>
        <w:rPr>
          <w:rFonts w:eastAsia="Times New Roman" w:cs="Times New Roman"/>
          <w:szCs w:val="24"/>
        </w:rPr>
      </w:pPr>
      <w:r w:rsidRPr="00406ABA">
        <w:rPr>
          <w:rFonts w:eastAsia="Times New Roman" w:cs="Times New Roman"/>
          <w:szCs w:val="24"/>
        </w:rPr>
        <w:t xml:space="preserve">Wells, Steve (2001), </w:t>
      </w:r>
      <w:r w:rsidRPr="00406ABA">
        <w:rPr>
          <w:rFonts w:eastAsia="Times New Roman" w:cs="Times New Roman"/>
          <w:i/>
          <w:iCs/>
          <w:szCs w:val="24"/>
        </w:rPr>
        <w:t>Skeptic’s Annotated Bible</w:t>
      </w:r>
      <w:r w:rsidRPr="00406ABA">
        <w:rPr>
          <w:rFonts w:eastAsia="Times New Roman" w:cs="Times New Roman"/>
          <w:szCs w:val="24"/>
        </w:rPr>
        <w:t xml:space="preserve">, [On-line], </w:t>
      </w:r>
      <w:r w:rsidRPr="00406ABA">
        <w:rPr>
          <w:rFonts w:eastAsia="Times New Roman" w:cs="Times New Roman"/>
          <w:sz w:val="20"/>
          <w:szCs w:val="20"/>
        </w:rPr>
        <w:t>URL</w:t>
      </w:r>
      <w:r w:rsidRPr="00406ABA">
        <w:rPr>
          <w:rFonts w:eastAsia="Times New Roman" w:cs="Times New Roman"/>
          <w:szCs w:val="24"/>
        </w:rPr>
        <w:t>: http://www.Skepticsannotatedbible.com&gt;.</w:t>
      </w:r>
    </w:p>
    <w:p w:rsidR="002C74D7" w:rsidRPr="000E1699" w:rsidRDefault="002C74D7" w:rsidP="002C74D7">
      <w:pPr>
        <w:pStyle w:val="NormalWeb"/>
        <w:jc w:val="center"/>
        <w:rPr>
          <w:b/>
        </w:rPr>
      </w:pPr>
      <w:r>
        <w:rPr>
          <w:b/>
        </w:rPr>
        <w:t>www.apologeticspress.org</w:t>
      </w:r>
    </w:p>
    <w:p w:rsidR="003E1D77" w:rsidRDefault="0005376C"/>
    <w:sectPr w:rsidR="003E1D77" w:rsidSect="00CA04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479"/>
    <w:rsid w:val="00026C97"/>
    <w:rsid w:val="0005376C"/>
    <w:rsid w:val="000A5F3C"/>
    <w:rsid w:val="000E1699"/>
    <w:rsid w:val="001169FB"/>
    <w:rsid w:val="00146B87"/>
    <w:rsid w:val="001C2762"/>
    <w:rsid w:val="001F6F52"/>
    <w:rsid w:val="002637A9"/>
    <w:rsid w:val="002844F6"/>
    <w:rsid w:val="002C74D7"/>
    <w:rsid w:val="00406ABA"/>
    <w:rsid w:val="00454E16"/>
    <w:rsid w:val="0059248C"/>
    <w:rsid w:val="00597572"/>
    <w:rsid w:val="005D2B51"/>
    <w:rsid w:val="00611479"/>
    <w:rsid w:val="00741277"/>
    <w:rsid w:val="007C59DE"/>
    <w:rsid w:val="00813D43"/>
    <w:rsid w:val="008F4DA9"/>
    <w:rsid w:val="00AD1B5C"/>
    <w:rsid w:val="00B1391E"/>
    <w:rsid w:val="00CA04DE"/>
    <w:rsid w:val="00CA5EA4"/>
    <w:rsid w:val="00CC47C5"/>
    <w:rsid w:val="00D003FA"/>
    <w:rsid w:val="00D866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05E40A-50DC-444C-B3FA-A34CFBA2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04DE"/>
  </w:style>
  <w:style w:type="paragraph" w:styleId="Heading2">
    <w:name w:val="heading 2"/>
    <w:basedOn w:val="Normal"/>
    <w:link w:val="Heading2Char"/>
    <w:uiPriority w:val="9"/>
    <w:qFormat/>
    <w:rsid w:val="00406ABA"/>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11479"/>
    <w:pPr>
      <w:spacing w:before="100" w:beforeAutospacing="1" w:after="100" w:afterAutospacing="1"/>
    </w:pPr>
    <w:rPr>
      <w:rFonts w:eastAsia="Times New Roman" w:cs="Times New Roman"/>
      <w:szCs w:val="24"/>
    </w:rPr>
  </w:style>
  <w:style w:type="paragraph" w:styleId="BalloonText">
    <w:name w:val="Balloon Text"/>
    <w:basedOn w:val="Normal"/>
    <w:link w:val="BalloonTextChar"/>
    <w:uiPriority w:val="99"/>
    <w:semiHidden/>
    <w:unhideWhenUsed/>
    <w:rsid w:val="00611479"/>
    <w:rPr>
      <w:rFonts w:ascii="Tahoma" w:hAnsi="Tahoma" w:cs="Tahoma"/>
      <w:sz w:val="16"/>
      <w:szCs w:val="16"/>
    </w:rPr>
  </w:style>
  <w:style w:type="character" w:customStyle="1" w:styleId="BalloonTextChar">
    <w:name w:val="Balloon Text Char"/>
    <w:basedOn w:val="DefaultParagraphFont"/>
    <w:link w:val="BalloonText"/>
    <w:uiPriority w:val="99"/>
    <w:semiHidden/>
    <w:rsid w:val="00611479"/>
    <w:rPr>
      <w:rFonts w:ascii="Tahoma" w:hAnsi="Tahoma" w:cs="Tahoma"/>
      <w:sz w:val="16"/>
      <w:szCs w:val="16"/>
    </w:rPr>
  </w:style>
  <w:style w:type="character" w:customStyle="1" w:styleId="Heading2Char">
    <w:name w:val="Heading 2 Char"/>
    <w:basedOn w:val="DefaultParagraphFont"/>
    <w:link w:val="Heading2"/>
    <w:uiPriority w:val="9"/>
    <w:rsid w:val="00406ABA"/>
    <w:rPr>
      <w:rFonts w:eastAsia="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88832">
      <w:bodyDiv w:val="1"/>
      <w:marLeft w:val="0"/>
      <w:marRight w:val="0"/>
      <w:marTop w:val="0"/>
      <w:marBottom w:val="0"/>
      <w:divBdr>
        <w:top w:val="none" w:sz="0" w:space="0" w:color="auto"/>
        <w:left w:val="none" w:sz="0" w:space="0" w:color="auto"/>
        <w:bottom w:val="none" w:sz="0" w:space="0" w:color="auto"/>
        <w:right w:val="none" w:sz="0" w:space="0" w:color="auto"/>
      </w:divBdr>
    </w:div>
    <w:div w:id="490751555">
      <w:bodyDiv w:val="1"/>
      <w:marLeft w:val="0"/>
      <w:marRight w:val="0"/>
      <w:marTop w:val="0"/>
      <w:marBottom w:val="0"/>
      <w:divBdr>
        <w:top w:val="none" w:sz="0" w:space="0" w:color="auto"/>
        <w:left w:val="none" w:sz="0" w:space="0" w:color="auto"/>
        <w:bottom w:val="none" w:sz="0" w:space="0" w:color="auto"/>
        <w:right w:val="none" w:sz="0" w:space="0" w:color="auto"/>
      </w:divBdr>
    </w:div>
    <w:div w:id="616374532">
      <w:bodyDiv w:val="1"/>
      <w:marLeft w:val="0"/>
      <w:marRight w:val="0"/>
      <w:marTop w:val="0"/>
      <w:marBottom w:val="0"/>
      <w:divBdr>
        <w:top w:val="none" w:sz="0" w:space="0" w:color="auto"/>
        <w:left w:val="none" w:sz="0" w:space="0" w:color="auto"/>
        <w:bottom w:val="none" w:sz="0" w:space="0" w:color="auto"/>
        <w:right w:val="none" w:sz="0" w:space="0" w:color="auto"/>
      </w:divBdr>
    </w:div>
    <w:div w:id="21279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Susie</dc:creator>
  <cp:keywords/>
  <dc:description/>
  <cp:lastModifiedBy>Susie</cp:lastModifiedBy>
  <cp:revision>2</cp:revision>
  <dcterms:created xsi:type="dcterms:W3CDTF">2018-02-08T12:55:00Z</dcterms:created>
  <dcterms:modified xsi:type="dcterms:W3CDTF">2018-02-08T12:55:00Z</dcterms:modified>
</cp:coreProperties>
</file>